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ascii="HanWangMingMediumChuIn" w:hAnsi="HanWangMingMediumChuIn"/>
          <w:sz w:val="30"/>
          <w:szCs w:val="30"/>
          <w:rtl w:val="0"/>
        </w:rPr>
        <w:t>2020-10-17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周虹汶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加拿大萬聖節</w:t>
      </w:r>
      <w:r>
        <w:rPr>
          <w:rFonts w:eastAsia="HanWangMingMediumPoIn1" w:hint="eastAsia"/>
          <w:sz w:val="30"/>
          <w:szCs w:val="30"/>
          <w:rtl w:val="0"/>
          <w:lang w:val="zh-CN" w:eastAsia="zh-CN"/>
        </w:rPr>
        <w:t>不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取消，但曲棍球棒可能派上用場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對父母而言，今年的萬聖節真的一想到就嚇人，因冠狀病毒病例數正攀升。加拿大週一記錄到</w:t>
      </w:r>
      <w:r>
        <w:rPr>
          <w:rFonts w:ascii="HanWangMingMediumChuIn" w:hAnsi="HanWangMingMediumChuIn"/>
          <w:sz w:val="30"/>
          <w:szCs w:val="30"/>
          <w:rtl w:val="0"/>
        </w:rPr>
        <w:t>975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人新感染，而總理上週警告該國正處於對抗第二波疫情的「臨界點」。加拿大副首席公共衛生官哈沃德</w:t>
      </w:r>
      <w:r>
        <w:rPr>
          <w:rFonts w:ascii="HanWangMingMediumChuIn" w:hAnsi="HanWangMingMediumChuIn" w:hint="default"/>
          <w:sz w:val="30"/>
          <w:szCs w:val="30"/>
          <w:rtl w:val="0"/>
        </w:rPr>
        <w:t>‧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恩佐醫師週二在記者會上說，「我們可以有萬聖節</w:t>
      </w:r>
      <w:r>
        <w:rPr>
          <w:rFonts w:ascii="HanWangMingMediumChuIn" w:hAnsi="HanWangMingMediumChuIn" w:hint="default"/>
          <w:sz w:val="30"/>
          <w:szCs w:val="30"/>
          <w:rtl w:val="0"/>
        </w:rPr>
        <w:t>……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安全發送和接受糖果是可能的。」「有些真的很有趣的點子，包括民眾用曲棍球棒末端分發糖果」，首席醫療官員譚詠詩醫師補充道。「事先包好你的糖，人們這樣就不會在糖果碗裡亂翻，這點其實很重要。」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  <w:lang w:val="zh-CN" w:eastAsia="zh-CN"/>
        </w:rPr>
        <w:t>加拿大万圣节不取消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但曲棍球棒可能派上用场</w:t>
      </w: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  <w:lang w:val="zh-CN" w:eastAsia="zh-CN"/>
        </w:rPr>
        <w:t>对父母而言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今年的万圣节真的一想到就吓人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因冠状病毒病例数正攀升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加拿大周一记录到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975</w:t>
      </w:r>
      <w:r>
        <w:rPr>
          <w:rFonts w:eastAsia="Hanzi-Pinyin-Font" w:hint="eastAsia"/>
          <w:sz w:val="40"/>
          <w:szCs w:val="40"/>
          <w:rtl w:val="0"/>
        </w:rPr>
        <w:t>人新感染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而总理上周警告该国正处于对抗第二波疫情的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临界点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」。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加拿大副首席公共卫生官哈沃德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</w:rPr>
        <w:t>‧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恩佐医师周二在记者会上说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我们可以有万圣节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</w:rPr>
        <w:t>……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安全发送和接受糖果是可能的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。」「</w:t>
      </w:r>
      <w:r>
        <w:rPr>
          <w:rFonts w:eastAsia="Hanzi-Pinyin-Font" w:hint="eastAsia"/>
          <w:sz w:val="40"/>
          <w:szCs w:val="40"/>
          <w:rtl w:val="0"/>
          <w:lang w:val="zh-TW" w:eastAsia="zh-TW"/>
        </w:rPr>
        <w:t>有些真的很有趣的点子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包括民众用曲棍球棒末端分发糖果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」，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首席医疗官员谭咏诗医师补充道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。「</w:t>
      </w:r>
      <w:r>
        <w:rPr>
          <w:rFonts w:eastAsia="Hanzi-Pinyin-Font" w:hint="eastAsia"/>
          <w:sz w:val="40"/>
          <w:szCs w:val="40"/>
          <w:rtl w:val="0"/>
          <w:lang w:val="zh-TW" w:eastAsia="zh-TW"/>
        </w:rPr>
        <w:t>事先包好你的糖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人们这样就不会在糖果碗里乱翻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这点其实很重要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。」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es-ES_tradnl"/>
        </w:rPr>
        <w:t>Canada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s Halloween is not canceled, but a hockey stick could come in handy 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Canadian children can go trick-or-treating on Halloween despite being in the middle of a second wave of COVID-19, the country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>s top health officials say, as long as they practice physical distancing, wear masks and wash their hands.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>For parents, this year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>s Halloween is truly a scary prospect, however, as coronavirus case numbers climb. Canada recorded 975 new infections on Monday, and the prime minister warned last week that the country is at a "tipping point" in its battle against a second surge.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>"We can have Halloween... It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>s possible to give and receive candy safely," Dr. Howard Njoo, Canada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>s deputy chief public health officer, told a news conference on Tuesday.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>"There are some really interesting ideas where people are handing out treats on the end of a hockey stick," added Dr. Theresa Tam, chief medical officer. "Pre-packaging your treats so people are not rummaging in a bowl of candies is actually important.</w:t>
      </w:r>
      <w:r>
        <w:rPr>
          <w:rFonts w:ascii="Times Roman" w:hAnsi="Times Roman" w:hint="default"/>
          <w:sz w:val="26"/>
          <w:szCs w:val="26"/>
          <w:rtl w:val="0"/>
          <w:lang w:val="zh-TW" w:eastAsia="zh-TW"/>
        </w:rPr>
        <w:t>”</w:t>
      </w:r>
    </w:p>
    <w:p>
      <w:pPr>
        <w:pStyle w:val="Body"/>
        <w:jc w:val="both"/>
        <w:rPr>
          <w:rFonts w:ascii="Times Roman" w:cs="Times Roman" w:hAnsi="Times Roman" w:eastAsia="Times Roman"/>
          <w:sz w:val="24"/>
          <w:szCs w:val="24"/>
        </w:rPr>
      </w:pPr>
    </w:p>
    <w:tbl>
      <w:tblPr>
        <w:tblW w:w="100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17"/>
        <w:gridCol w:w="1757"/>
        <w:gridCol w:w="7205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加拿大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Canada / Canadian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萬聖節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Halloween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曲棍球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nqi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field hockey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派上用場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put to good use / to come in handy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父母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ǔ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father and mother / parents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而言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with regard to (preceding phrase)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病例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(medical) case / occurrence of illness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攀升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clamber up / (of prices etc) to rise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感染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infection / to infect / to influence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對抗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withstand / to resist / to stand off / antagonism / confrontation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臨界點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critical point / boundary point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首席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ux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chief (representative, correspondent etc)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公共衛生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public health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記者會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press conference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發送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transmit / to dispatch / to issue (an official document or credential)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糖果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candy / CL: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]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民眾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populace / masses / the people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末端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tip / extremity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分發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distribute / distribution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官員</w:t>
            </w:r>
          </w:p>
        </w:tc>
        <w:tc>
          <w:tcPr>
            <w:tcW w:type="dxa" w:w="1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nyu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331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official (in an organization or government) / administrator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anWangMingMediumChuIn">
    <w:charset w:val="00"/>
    <w:family w:val="roman"/>
    <w:pitch w:val="default"/>
  </w:font>
  <w:font w:name="HanWangMingMediumPoIn1">
    <w:charset w:val="00"/>
    <w:family w:val="roman"/>
    <w:pitch w:val="default"/>
  </w:font>
  <w:font w:name="Times Roman">
    <w:charset w:val="00"/>
    <w:family w:val="roman"/>
    <w:pitch w:val="default"/>
  </w:font>
  <w:font w:name="Hanzi-Pinyin-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18"/>
        <w:szCs w:val="18"/>
        <w:rtl w:val="0"/>
        <w:lang w:val="zh-TW" w:eastAsia="zh-TW"/>
      </w:rPr>
      <w:t xml:space="preserve">*I included zhuyin &amp; pinyin for your benefit.  They are not 100% correct, given alternative pronunciation.  You may alter them as you see fit. 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我提供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注音和拼音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是為了家長和學生方便，但因為有多音字（破音字），不ㄧ定完全正確，請自行更改。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